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Aydınlatma Metni ve Açık Rıza Metni Örneği</w:t>
      </w:r>
    </w:p>
    <w:p>
      <w:r>
        <w:rPr>
          <w:color w:val="4E6070"/>
          <w:sz w:val="20"/>
        </w:rPr>
        <w:t>Klinikler, muayenehaneler ve sağlık turizmi firmaları için KVKK'ya göre hazırlanmış, doldurulup uyarlanacak örnek metinler.</w:t>
      </w:r>
    </w:p>
    <w:tbl>
      <w:tblPr>
        <w:tblW w:type="dxa" w:w="9639"/>
        <w:jc w:val="center"/>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tcBorders>
              <w:left w:val="single" w:sz="24" w:space="0" w:color="C98A00"/>
            </w:tcBorders>
            <w:shd w:val="clear" w:color="auto" w:fill="FFF4DB"/>
          </w:tcPr>
          <w:p>
            <w:pPr>
              <w:spacing w:before="80"/>
            </w:pPr>
            <w:r>
              <w:rPr>
                <w:b/>
                <w:color w:val="7A4B00"/>
              </w:rPr>
              <w:t>Önemli: Bu bir örnektir, hukuki tavsiye değildir</w:t>
            </w:r>
          </w:p>
          <w:p>
            <w:pPr>
              <w:spacing w:after="80"/>
            </w:pPr>
            <w:r>
              <w:rPr>
                <w:color w:val="7A4B00"/>
                <w:sz w:val="19"/>
              </w:rPr>
              <w:t>Bu metinler, Klinikbook'un uyum merkezinde kullandığı Türkiye paketi şablonlarından uyarlanmış bir başlangıç noktasıdır. Kendi işleyişinize göre bir avukatla birlikte uyarlamadan kullanmayın.</w:t>
            </w:r>
          </w:p>
          <w:p>
            <w:pPr>
              <w:spacing w:after="80"/>
            </w:pPr>
            <w:r>
              <w:rPr>
                <w:color w:val="7A4B00"/>
                <w:sz w:val="19"/>
              </w:rPr>
              <w:t>Sağlık verileri özel nitelikli kişisel veridir. 7499 sayılı Kanun'la değişen 6698 sayılı KVKK'nın 6. maddesine göre ancak hastanın açık rızası ya da kanunda sayılan başka bir şart varsa işlenebilir; örneğin tıbbi teşhis, tedavi ve bakım hizmetlerinin sır saklama yükümlülüğü altındaki kişilerce yürütülmesi (m. 6/3-e). Sizin için hangi şartın geçerli olduğunu avukatınızla belirleyin.</w:t>
            </w:r>
          </w:p>
        </w:tc>
      </w:tr>
    </w:tbl>
    <w:p>
      <w:pPr>
        <w:spacing w:after="40"/>
      </w:pPr>
    </w:p>
    <w:p>
      <w:pPr>
        <w:pStyle w:val="Heading2"/>
      </w:pPr>
      <w:r>
        <w:t>Bu örneği nasıl kullanırsınız?</w:t>
      </w:r>
    </w:p>
    <w:p>
      <w:pPr>
        <w:pStyle w:val="ListBullet"/>
      </w:pPr>
      <w:r>
        <w:t xml:space="preserve">Köşeli parantez içindeki </w:t>
      </w:r>
      <w:r>
        <w:rPr>
          <w:color w:val="1260A8"/>
        </w:rPr>
        <w:t>[alanları]</w:t>
      </w:r>
      <w:r>
        <w:t xml:space="preserve"> kendi bilgilerinizle doldurun; size uymayan cümleleri silin ya da değiştirin.</w:t>
      </w:r>
    </w:p>
    <w:p>
      <w:pPr>
        <w:pStyle w:val="ListBullet"/>
      </w:pPr>
      <w:r>
        <w:t>Aydınlatma metnindeki "Sağlık verileri" paragrafında size uyan seçeneği bırakın: sağlık hizmeti sunan kuruluşlar için Seçenek 1, sağlık turizmi aracı kuruluşları ve sağlık hizmeti sunmayan diğer işletmeler için Seçenek 2.</w:t>
      </w:r>
    </w:p>
    <w:p>
      <w:pPr>
        <w:pStyle w:val="ListBullet"/>
      </w:pPr>
      <w:r>
        <w:t>Aydınlatma metnini kişisel verileri topladığınız her yerde (web sitesi formu, ön değerlendirme formu, ilk yazışma) erişilebilir kılın. Aydınlatma yükümlülüğü, işleme açık rızaya dayansın ya da dayanmasın her durumda yerine getirilir.</w:t>
      </w:r>
    </w:p>
    <w:p>
      <w:pPr>
        <w:pStyle w:val="ListBullet"/>
      </w:pPr>
      <w:r>
        <w:t>Açık rızaya dayanıyorsanız onu aydınlatma metninden ayrı bir metinle, belirli bir konuya ilişkin ve kişinin özgür iradesiyle alın.</w:t>
      </w:r>
    </w:p>
    <w:p>
      <w:pPr>
        <w:pStyle w:val="ListBullet"/>
      </w:pPr>
      <w:r>
        <w:t>Kişiyi aydınlattığınızı ve varsa açık rızasını aldığınızı kanıtlayabilmeniz gerekir: hangi metnin hangi sürümünün, kime, ne zaman sunulduğunu ve onaylandığını kayıt altında tutun.</w:t>
      </w:r>
    </w:p>
    <w:p>
      <w:pPr>
        <w:pStyle w:val="ListBullet"/>
      </w:pPr>
      <w:r>
        <w:t>Yurt dışına aktarım (ör. sunucuları yurt dışında olan bir yazılım, yurt dışındaki iş ortakları), 1 Haziran 2024'ten beri KVKK'nın yeni 9. maddesine tabidir: yeterlilik kararı, uygun güvenceler (ör. Kurul'un ilan ettiği standart sözleşme; imzalandıktan sonra beş iş günü içinde Kurum'a bildirilir) ya da yalnızca arızi aktarımlar için sayılan istisnalar. Açık rıza bu istisnalardan biridir ve kişi olası riskler hakkında bilgilendirilerek alınır. Hangisine dayanacağınızı avukatınızla belirleyin.</w:t>
      </w:r>
    </w:p>
    <w:p>
      <w:pPr>
        <w:pStyle w:val="Heading2"/>
      </w:pPr>
      <w:r>
        <w:t>Kaynaklar</w:t>
      </w:r>
    </w:p>
    <w:p>
      <w:pPr>
        <w:pStyle w:val="ListBullet"/>
      </w:pPr>
      <w:r>
        <w:t>6698 sayılı Kişisel Verilerin Korunması Kanunu (güncel metin): https://www.mevzuat.gov.tr/mevzuatmetin/1.5.6698.pdf</w:t>
      </w:r>
    </w:p>
    <w:p>
      <w:pPr>
        <w:pStyle w:val="ListBullet"/>
      </w:pPr>
      <w:r>
        <w:t>7499 sayılı Ceza Muhakemesi Kanunu ile Bazı Kanunlarda Değişiklik Yapılmasına Dair Kanun, Resmî Gazete, 12 Mart 2024, sayı 32487: https://www.resmigazete.gov.tr/eskiler/2024/03/20240312-1.htm</w:t>
      </w:r>
    </w:p>
    <w:p>
      <w:pPr>
        <w:pStyle w:val="ListBullet"/>
      </w:pPr>
      <w:r>
        <w:t>Aydınlatma Yükümlülüğünün Yerine Getirilmesinde Uyulacak Usul ve Esaslar Hakkında Tebliğ, Resmî Gazete, 10 Mart 2018, sayı 30356: https://www.resmigazete.gov.tr/eskiler/2018/03/20180310-5.htm</w:t>
      </w:r>
    </w:p>
    <w:p>
      <w:r>
        <w:rPr>
          <w:color w:val="4E6070"/>
          <w:sz w:val="17"/>
        </w:rPr>
        <w:t>Kaynaklar 19 Ekim 2026 tarihinde kontrol edilmiştir.</w:t>
      </w:r>
    </w:p>
    <w:p>
      <w:r>
        <w:br w:type="page"/>
      </w:r>
    </w:p>
    <w:p>
      <w:pPr>
        <w:pStyle w:val="Heading1"/>
      </w:pPr>
      <w:r>
        <w:rPr>
          <w:color w:val="1260A8"/>
        </w:rPr>
        <w:t>[Klinik adı]</w:t>
      </w:r>
      <w:r>
        <w:t xml:space="preserve"> Kişisel Verilerin Korunması Aydınlatma Metni</w:t>
      </w:r>
    </w:p>
    <w:p>
      <w:r>
        <w:t>Bu metin, 6698 sayılı Kişisel Verilerin Korunması Kanunu ("KVKK") madde 10 uyarınca, kişisel verilerinizin nasıl işlendiğini açıklar.</w:t>
      </w:r>
    </w:p>
    <w:p>
      <w:pPr>
        <w:pStyle w:val="Heading2"/>
      </w:pPr>
      <w:r>
        <w:t>Veri sorumlusu</w:t>
      </w:r>
    </w:p>
    <w:p>
      <w:r>
        <w:t xml:space="preserve">Kişisel verileriniz, veri sorumlusu sıfatıyla </w:t>
      </w:r>
      <w:r>
        <w:rPr>
          <w:color w:val="1260A8"/>
        </w:rPr>
        <w:t>[Kliniğin yasal unvanı]</w:t>
      </w:r>
      <w:r>
        <w:t xml:space="preserve"> ("</w:t>
      </w:r>
      <w:r>
        <w:rPr>
          <w:color w:val="1260A8"/>
        </w:rPr>
        <w:t>[Klinik adı]</w:t>
      </w:r>
      <w:r>
        <w:t>") tarafından işlenir.</w:t>
      </w:r>
    </w:p>
    <w:p>
      <w:pPr>
        <w:pStyle w:val="ListBullet"/>
      </w:pPr>
      <w:r>
        <w:t xml:space="preserve">Adres: </w:t>
      </w:r>
      <w:r>
        <w:rPr>
          <w:color w:val="1260A8"/>
        </w:rPr>
        <w:t>[Açık adres]</w:t>
      </w:r>
    </w:p>
    <w:p>
      <w:pPr>
        <w:pStyle w:val="ListBullet"/>
      </w:pPr>
      <w:r>
        <w:t xml:space="preserve">E-posta: </w:t>
      </w:r>
      <w:r>
        <w:rPr>
          <w:color w:val="1260A8"/>
        </w:rPr>
        <w:t>[İletişim e-posta adresi]</w:t>
      </w:r>
    </w:p>
    <w:p>
      <w:pPr>
        <w:pStyle w:val="ListBullet"/>
      </w:pPr>
      <w:r>
        <w:t xml:space="preserve">KEP adresi: </w:t>
      </w:r>
      <w:r>
        <w:rPr>
          <w:color w:val="1260A8"/>
        </w:rPr>
        <w:t>[Varsa KEP adresi]</w:t>
      </w:r>
    </w:p>
    <w:p>
      <w:pPr>
        <w:pStyle w:val="ListBullet"/>
      </w:pPr>
      <w:r>
        <w:t xml:space="preserve">Telefon: </w:t>
      </w:r>
      <w:r>
        <w:rPr>
          <w:color w:val="1260A8"/>
        </w:rPr>
        <w:t>[Telefon]</w:t>
      </w:r>
    </w:p>
    <w:p>
      <w:pPr>
        <w:pStyle w:val="Heading2"/>
      </w:pPr>
      <w:r>
        <w:t>İşlenen kişisel veriler</w:t>
      </w:r>
    </w:p>
    <w:p>
      <w:pPr>
        <w:pStyle w:val="ListBullet"/>
      </w:pPr>
      <w:r>
        <w:t>Kimlik ve iletişim bilgileri: adınız, soyadınız, e-posta adresiniz, telefon numaranız, ülkeniz, dil tercihiniz.</w:t>
      </w:r>
    </w:p>
    <w:p>
      <w:pPr>
        <w:pStyle w:val="ListBullet"/>
      </w:pPr>
      <w:r>
        <w:t>Başvuru ve süreç bilgileri: ilgilendiğiniz hizmetler, size sunulan teklifler, randevularınız, seyahat ve konaklama planınız.</w:t>
      </w:r>
    </w:p>
    <w:p>
      <w:pPr>
        <w:pStyle w:val="ListBullet"/>
      </w:pPr>
      <w:r>
        <w:t>Sağlık verileri (özel nitelikli kişisel veri): formlarda verdiğiniz yanıtlar, paylaştığınız fotoğraf ve belgeler, tedavi sonrası takip yanıtlarınız.</w:t>
      </w:r>
    </w:p>
    <w:p>
      <w:pPr>
        <w:pStyle w:val="ListBullet"/>
      </w:pPr>
      <w:r>
        <w:t>Finansal bilgiler: ödeme planınız, ödeme kayıtlarınız ve gönderdiğiniz dekontlar.</w:t>
      </w:r>
    </w:p>
    <w:p>
      <w:pPr>
        <w:pStyle w:val="ListBullet"/>
      </w:pPr>
      <w:r>
        <w:t>İzin ve tercihleriniz: pazarlama izinleriniz, iletişim tercihleriniz.</w:t>
      </w:r>
    </w:p>
    <w:p>
      <w:pPr>
        <w:pStyle w:val="Heading2"/>
      </w:pPr>
      <w:r>
        <w:t>İşleme amaçları</w:t>
      </w:r>
    </w:p>
    <w:p>
      <w:pPr>
        <w:pStyle w:val="ListBullet"/>
      </w:pPr>
      <w:r>
        <w:t>Başvurunuzu almak, size dönmek ve sizi bilgilendirmek.</w:t>
      </w:r>
    </w:p>
    <w:p>
      <w:pPr>
        <w:pStyle w:val="ListBullet"/>
      </w:pPr>
      <w:r>
        <w:t>Tedavi seçeneklerinizi değerlendirmek, teklif hazırlamak, randevu ve seyahat planlamak.</w:t>
      </w:r>
    </w:p>
    <w:p>
      <w:pPr>
        <w:pStyle w:val="ListBullet"/>
      </w:pPr>
      <w:r>
        <w:t>Tedavi sürecini ve tedavi sonrası takibi yürütmek.</w:t>
      </w:r>
    </w:p>
    <w:p>
      <w:pPr>
        <w:pStyle w:val="ListBullet"/>
      </w:pPr>
      <w:r>
        <w:t>Ödemeleri takip etmek, muhasebe ve vergi yükümlülüklerini yerine getirmek.</w:t>
      </w:r>
    </w:p>
    <w:p>
      <w:pPr>
        <w:pStyle w:val="ListBullet"/>
      </w:pPr>
      <w:r>
        <w:t>Hukuki yükümlülüklerimizi yerine getirmek ve olası uyuşmazlıklarda haklarımızı korumak.</w:t>
      </w:r>
    </w:p>
    <w:p>
      <w:pPr>
        <w:pStyle w:val="ListBullet"/>
      </w:pPr>
      <w:r>
        <w:t>İzin vermeniz halinde size kampanya ve bilgilendirme iletileri göndermek.</w:t>
      </w:r>
    </w:p>
    <w:p>
      <w:pPr>
        <w:pStyle w:val="Heading2"/>
      </w:pPr>
      <w:r>
        <w:t>Hukuki sebepler</w:t>
      </w:r>
    </w:p>
    <w:p>
      <w:r>
        <w:t>Kişisel verileriniz; bir sözleşmenin kurulması veya ifası (KVKK m. 5/2-c), hukuki yükümlülüklerimizin yerine getirilmesi (m. 5/2-ç), bir hakkın tesisi, kullanılması veya korunması (m. 5/2-e) ve temel hak ve özgürlüklerinize zarar vermemek kaydıyla meşru menfaatlerimiz (m. 5/2-f) hukuki sebeplerine dayanılarak işlenir.</w:t>
      </w:r>
    </w:p>
    <w:p>
      <w:pPr>
        <w:pStyle w:val="Heading3"/>
      </w:pPr>
      <w:r>
        <w:t>Sağlık verileri</w:t>
      </w:r>
    </w:p>
    <w:p>
      <w:r>
        <w:rPr>
          <w:color w:val="1260A8"/>
        </w:rPr>
        <w:t>[Seçenek 1 — sağlık hizmeti sunan kuruluşlar için:]</w:t>
      </w:r>
      <w:r>
        <w:t xml:space="preserve"> Sağlık verileriniz, KVKK m. 6/3-e uyarınca tıbbi teşhis, tedavi ve bakım hizmetlerinin yürütülmesi amacıyla sır saklama yükümlülüğü altındaki kişiler tarafından işlenir; bu amaçların dışındaki işlemeler ve aktarımlar için açık rızanız alınır.</w:t>
      </w:r>
    </w:p>
    <w:p>
      <w:r>
        <w:rPr>
          <w:color w:val="1260A8"/>
        </w:rPr>
        <w:t>[Seçenek 2 — sağlık turizmi aracı kuruluşları ve sağlık hizmeti sunmayan diğer işletmeler için:]</w:t>
      </w:r>
      <w:r>
        <w:t xml:space="preserve"> Sağlık verileriniz, ayrıca alınan açık rızanıza dayanılarak (KVKK m. 6/3-a) ve yalnızca tedavi seçeneklerinizin değerlendirilmesi ve sürecinizin yürütülmesi amacıyla işlenir.</w:t>
      </w:r>
    </w:p>
    <w:p>
      <w:r>
        <w:t>Pazarlama iletileri yalnızca onayınızla gönderilir.</w:t>
      </w:r>
    </w:p>
    <w:p>
      <w:pPr>
        <w:pStyle w:val="Heading2"/>
      </w:pPr>
      <w:r>
        <w:t>Toplama yöntemi</w:t>
      </w:r>
    </w:p>
    <w:p>
      <w:r>
        <w:t xml:space="preserve">Kişisel verileriniz; web sitemizdeki formlar, </w:t>
      </w:r>
      <w:r>
        <w:rPr>
          <w:color w:val="1260A8"/>
        </w:rPr>
        <w:t>[hasta portalı / ön değerlendirme formu]</w:t>
      </w:r>
      <w:r>
        <w:t>, e-posta, telefon, yüz yüze görüşmeler ve iş ortaklarımız aracılığıyla, elektronik ortamda ve kâğıt üzerinde toplanır.</w:t>
      </w:r>
    </w:p>
    <w:p>
      <w:pPr>
        <w:pStyle w:val="Heading2"/>
      </w:pPr>
      <w:r>
        <w:t>Aktarım</w:t>
      </w:r>
    </w:p>
    <w:p>
      <w:r>
        <w:t>Kişisel verileriniz, hizmetin gerektirdiği ölçüde; tedaviyi sunan sağlık kuruluşları ve hekimlere, konaklama, transfer ve tercümanlık hizmeti veren iş ortaklarımıza, ödeme ve muhasebe hizmeti aldığımız kuruluşlara ve yasal yükümlülükler kapsamında yetkili kamu kurum ve kuruluşlarına aktarılabilir.</w:t>
      </w:r>
    </w:p>
    <w:p>
      <w:r>
        <w:t xml:space="preserve">Verileriniz, veri işleyen sıfatıyla hizmet aldığımız </w:t>
      </w:r>
      <w:r>
        <w:rPr>
          <w:color w:val="1260A8"/>
        </w:rPr>
        <w:t>[yazılım ya da bulut hizmeti sağlayıcısının adı]</w:t>
      </w:r>
      <w:r>
        <w:t xml:space="preserve"> tarafından şu ülkedeki sunucularda saklanır: </w:t>
      </w:r>
      <w:r>
        <w:rPr>
          <w:color w:val="1260A8"/>
        </w:rPr>
        <w:t>[sunucuların bulunduğu ülke]</w:t>
      </w:r>
      <w:r>
        <w:t xml:space="preserve">. Türkiye dışındaki sunuculara ve iş ortaklarına aktarım, KVKK m. 9'daki şartlara uygun olarak yapılır: </w:t>
      </w:r>
      <w:r>
        <w:rPr>
          <w:color w:val="1260A8"/>
        </w:rPr>
        <w:t>[dayandığınız aktarım yolu, ör. yeterlilik kararı, Kurum'a bildirilmiş standart sözleşme ya da açık rıza]</w:t>
      </w:r>
      <w:r>
        <w:t>.</w:t>
      </w:r>
    </w:p>
    <w:p>
      <w:pPr>
        <w:pStyle w:val="Heading2"/>
      </w:pPr>
      <w:r>
        <w:t>Saklama süresi</w:t>
      </w:r>
    </w:p>
    <w:p>
      <w:r>
        <w:t xml:space="preserve">Kişisel verileriniz, işleme amaçlarının gerektirdiği ve mevzuatın öngördüğü süreler boyunca saklanır. Tedaviye dönüşmeyen başvurulara ilişkin veriler, başvurunun kapanmasından </w:t>
      </w:r>
      <w:r>
        <w:rPr>
          <w:color w:val="1260A8"/>
        </w:rPr>
        <w:t>[süre]</w:t>
      </w:r>
      <w:r>
        <w:t xml:space="preserve"> sonra silinir.</w:t>
      </w:r>
    </w:p>
    <w:p>
      <w:pPr>
        <w:pStyle w:val="Heading2"/>
      </w:pPr>
      <w:r>
        <w:t>Haklarınız</w:t>
      </w:r>
    </w:p>
    <w:p>
      <w:r>
        <w:t>KVKK m. 11 uyarınca; kişisel verilerinizin işlenip işlenmediğini öğrenme, işlenmişse buna ilişkin bilgi talep etme, işlenme amacını ve amacına uygun kullanılıp kullanılmadığını öğrenme, yurt içinde veya yurt dışında aktarıldığı üçüncü kişileri bilme, eksik veya yanlış işlenmişse düzeltilmesini, KVKK m. 7'deki şartlar çerçevesinde silinmesini veya yok edilmesini ve bu işlemlerin aktarıldığı üçüncü kişilere bildirilmesini isteme, münhasıran otomatik sistemlerle analiz edilmesi sonucu aleyhinize bir sonucun ortaya çıkmasına itiraz etme ve kanuna aykırı işleme sebebiyle zarara uğramanız halinde zararın giderilmesini talep etme haklarına sahipsiniz.</w:t>
      </w:r>
    </w:p>
    <w:p>
      <w:pPr>
        <w:pStyle w:val="Heading2"/>
      </w:pPr>
      <w:r>
        <w:t>Başvuru</w:t>
      </w:r>
    </w:p>
    <w:p>
      <w:r>
        <w:t xml:space="preserve">Taleplerinizi </w:t>
      </w:r>
      <w:r>
        <w:rPr>
          <w:color w:val="1260A8"/>
        </w:rPr>
        <w:t>[iletişim e-posta adresi]</w:t>
      </w:r>
      <w:r>
        <w:t xml:space="preserve"> adresine e-posta göndererek, </w:t>
      </w:r>
      <w:r>
        <w:rPr>
          <w:color w:val="1260A8"/>
        </w:rPr>
        <w:t>[varsa KEP adresi]</w:t>
      </w:r>
      <w:r>
        <w:t xml:space="preserve"> üzerinden ya da yukarıdaki adrese yazılı olarak iletebilirsiniz. </w:t>
      </w:r>
      <w:r>
        <w:rPr>
          <w:color w:val="1260A8"/>
        </w:rPr>
        <w:t>[Varsa: hasta portalınızdaki veri talebi sayfasının adresi.]</w:t>
      </w:r>
      <w:r>
        <w:t xml:space="preserve"> Talepleriniz en geç otuz gün içinde ücretsiz olarak sonuçlandırılır.</w:t>
      </w:r>
    </w:p>
    <w:p>
      <w:r>
        <w:rPr>
          <w:color w:val="4E6070"/>
          <w:sz w:val="17"/>
        </w:rPr>
        <w:t xml:space="preserve">Sürüm: </w:t>
      </w:r>
      <w:r>
        <w:rPr>
          <w:color w:val="1260A8"/>
          <w:sz w:val="17"/>
        </w:rPr>
        <w:t>[1.0]</w:t>
      </w:r>
      <w:r>
        <w:rPr>
          <w:color w:val="4E6070"/>
          <w:sz w:val="17"/>
        </w:rPr>
        <w:t xml:space="preserve">  ·  Yürürlük tarihi: </w:t>
      </w:r>
      <w:r>
        <w:rPr>
          <w:color w:val="1260A8"/>
          <w:sz w:val="17"/>
        </w:rPr>
        <w:t>[GG.AA.YYYY]</w:t>
      </w:r>
    </w:p>
    <w:p>
      <w:r>
        <w:br w:type="page"/>
      </w:r>
    </w:p>
    <w:p>
      <w:pPr>
        <w:pStyle w:val="Heading1"/>
      </w:pPr>
      <w:r>
        <w:t>Sağlık Verilerinin İşlenmesine İlişkin Açık Rıza Metni</w:t>
      </w:r>
    </w:p>
    <w:p>
      <w:r>
        <w:rPr>
          <w:color w:val="1260A8"/>
        </w:rPr>
        <w:t>[Kliniğin yasal unvanı]</w:t>
      </w:r>
      <w:r>
        <w:t xml:space="preserve"> tarafından sunulan Kişisel Verilerin Korunması Aydınlatma Metni'ni okudum ve anladım. Aşağıda işaretlediğim konularda özgür irademle açık rıza veriyorum.</w:t>
      </w:r>
    </w:p>
    <w:tbl>
      <w:tblPr>
        <w:tblW w:type="dxa" w:w="9639"/>
        <w:jc w:val="center"/>
        <w:tblBorders>
          <w:top w:val="single" w:sz="4" w:space="0" w:color="D5DEE7"/>
          <w:left w:val="single" w:sz="4" w:space="0" w:color="D5DEE7"/>
          <w:bottom w:val="single" w:sz="4" w:space="0" w:color="D5DEE7"/>
          <w:right w:val="single" w:sz="4" w:space="0" w:color="D5DEE7"/>
          <w:insideH w:val="single" w:sz="4" w:space="0" w:color="D5DEE7"/>
          <w:insideV w:val="single" w:sz="4" w:space="0" w:color="D5DEE7"/>
        </w:tblBorders>
        <w:tblLayout w:type="fixed"/>
        <w:tblLook w:firstColumn="1" w:firstRow="1" w:lastColumn="0" w:lastRow="0" w:noHBand="0" w:noVBand="1" w:val="04A0"/>
      </w:tblPr>
      <w:tblGrid>
        <w:gridCol w:w="6463"/>
        <w:gridCol w:w="1587"/>
        <w:gridCol w:w="1587"/>
      </w:tblGrid>
      <w:tr>
        <w:trPr>
          <w:tblHeader w:val="true"/>
        </w:trPr>
        <w:tc>
          <w:tcPr>
            <w:tcW w:type="dxa" w:w="6463"/>
            <w:shd w:val="clear" w:color="auto" w:fill="1260A8"/>
            <w:vAlign w:val="center"/>
          </w:tcPr>
          <w:p>
            <w:pPr>
              <w:spacing w:before="40" w:after="40" w:line="240" w:lineRule="auto"/>
            </w:pPr>
            <w:r>
              <w:rPr>
                <w:b/>
                <w:color w:val="FFFFFF"/>
                <w:sz w:val="20"/>
              </w:rPr>
              <w:t>Konu</w:t>
            </w:r>
          </w:p>
        </w:tc>
        <w:tc>
          <w:tcPr>
            <w:tcW w:type="dxa" w:w="1587"/>
            <w:shd w:val="clear" w:color="auto" w:fill="1260A8"/>
            <w:vAlign w:val="center"/>
          </w:tcPr>
          <w:p>
            <w:pPr>
              <w:spacing w:before="40" w:after="40" w:line="240" w:lineRule="auto"/>
            </w:pPr>
            <w:r>
              <w:rPr>
                <w:b/>
                <w:color w:val="FFFFFF"/>
                <w:sz w:val="20"/>
              </w:rPr>
              <w:t>Onaylıyorum</w:t>
            </w:r>
          </w:p>
        </w:tc>
        <w:tc>
          <w:tcPr>
            <w:tcW w:type="dxa" w:w="1587"/>
            <w:shd w:val="clear" w:color="auto" w:fill="1260A8"/>
            <w:vAlign w:val="center"/>
          </w:tcPr>
          <w:p>
            <w:pPr>
              <w:spacing w:before="40" w:after="40" w:line="240" w:lineRule="auto"/>
            </w:pPr>
            <w:r>
              <w:rPr>
                <w:b/>
                <w:color w:val="FFFFFF"/>
                <w:sz w:val="20"/>
              </w:rPr>
              <w:t>Onaylamıyorum</w:t>
            </w:r>
          </w:p>
        </w:tc>
      </w:tr>
      <w:tr>
        <w:tc>
          <w:tcPr>
            <w:tcW w:type="dxa" w:w="6463"/>
            <w:vAlign w:val="center"/>
          </w:tcPr>
          <w:p>
            <w:pPr>
              <w:spacing w:before="40" w:after="40" w:line="240" w:lineRule="auto"/>
            </w:pPr>
            <w:r>
              <w:rPr>
                <w:sz w:val="20"/>
              </w:rPr>
              <w:t>Formlarda paylaştığım sağlık bilgilerimin, fotoğraf ve belgelerimin tedavi seçeneklerimin değerlendirilmesi, bana teklif hazırlanması, tedavi ve tedavi sonrası takip süreçlerimin yürütülmesi amacıyla işlenmesine</w:t>
            </w:r>
          </w:p>
        </w:tc>
        <w:tc>
          <w:tcPr>
            <w:tcW w:type="dxa" w:w="1587"/>
            <w:vAlign w:val="center"/>
          </w:tcPr>
          <w:p>
            <w:pPr>
              <w:spacing w:before="40" w:after="40" w:line="240" w:lineRule="auto"/>
              <w:jc w:val="center"/>
            </w:pPr>
            <w:r>
              <w:rPr>
                <w:sz w:val="24"/>
              </w:rPr>
              <w:t>☐</w:t>
            </w:r>
          </w:p>
        </w:tc>
        <w:tc>
          <w:tcPr>
            <w:tcW w:type="dxa" w:w="1587"/>
            <w:vAlign w:val="center"/>
          </w:tcPr>
          <w:p>
            <w:pPr>
              <w:spacing w:before="40" w:after="40" w:line="240" w:lineRule="auto"/>
              <w:jc w:val="center"/>
            </w:pPr>
            <w:r>
              <w:rPr>
                <w:sz w:val="24"/>
              </w:rPr>
              <w:t>☐</w:t>
            </w:r>
          </w:p>
        </w:tc>
      </w:tr>
      <w:tr>
        <w:tc>
          <w:tcPr>
            <w:tcW w:type="dxa" w:w="6463"/>
            <w:vAlign w:val="center"/>
          </w:tcPr>
          <w:p>
            <w:pPr>
              <w:spacing w:before="40" w:after="40" w:line="240" w:lineRule="auto"/>
            </w:pPr>
            <w:r>
              <w:rPr>
                <w:sz w:val="20"/>
              </w:rPr>
              <w:t>Bu verilerin, tedavimi sunacak sağlık kuruluşları ve hekimlerle ve sürecin gerektirdiği ölçüde konaklama, transfer ve tercümanlık hizmeti veren iş ortaklarıyla paylaşılmasına</w:t>
            </w:r>
          </w:p>
        </w:tc>
        <w:tc>
          <w:tcPr>
            <w:tcW w:type="dxa" w:w="1587"/>
            <w:vAlign w:val="center"/>
          </w:tcPr>
          <w:p>
            <w:pPr>
              <w:spacing w:before="40" w:after="40" w:line="240" w:lineRule="auto"/>
              <w:jc w:val="center"/>
            </w:pPr>
            <w:r>
              <w:rPr>
                <w:sz w:val="24"/>
              </w:rPr>
              <w:t>☐</w:t>
            </w:r>
          </w:p>
        </w:tc>
        <w:tc>
          <w:tcPr>
            <w:tcW w:type="dxa" w:w="1587"/>
            <w:vAlign w:val="center"/>
          </w:tcPr>
          <w:p>
            <w:pPr>
              <w:spacing w:before="40" w:after="40" w:line="240" w:lineRule="auto"/>
              <w:jc w:val="center"/>
            </w:pPr>
            <w:r>
              <w:rPr>
                <w:sz w:val="24"/>
              </w:rPr>
              <w:t>☐</w:t>
            </w:r>
          </w:p>
        </w:tc>
      </w:tr>
      <w:tr>
        <w:tc>
          <w:tcPr>
            <w:tcW w:type="dxa" w:w="6463"/>
            <w:vAlign w:val="center"/>
          </w:tcPr>
          <w:p>
            <w:pPr>
              <w:spacing w:before="40" w:after="40" w:line="240" w:lineRule="auto"/>
            </w:pPr>
            <w:r>
              <w:rPr>
                <w:sz w:val="20"/>
              </w:rPr>
              <w:t xml:space="preserve">Bu iş ortaklarının yurt dışında bulunması halinde verilerimin yurt dışına aktarılmasına. Aktarımın olası riskleri hakkında bilgilendirildim: </w:t>
            </w:r>
            <w:r>
              <w:rPr>
                <w:color w:val="1260A8"/>
                <w:sz w:val="20"/>
              </w:rPr>
              <w:t>[olası riskleri kısaca yazın, ör. alıcı ülkede Türkiye'dekiyle aynı düzeyde bir koruma bulunmayabileceği]</w:t>
            </w:r>
          </w:p>
        </w:tc>
        <w:tc>
          <w:tcPr>
            <w:tcW w:type="dxa" w:w="1587"/>
            <w:vAlign w:val="center"/>
          </w:tcPr>
          <w:p>
            <w:pPr>
              <w:spacing w:before="40" w:after="40" w:line="240" w:lineRule="auto"/>
              <w:jc w:val="center"/>
            </w:pPr>
            <w:r>
              <w:rPr>
                <w:sz w:val="24"/>
              </w:rPr>
              <w:t>☐</w:t>
            </w:r>
          </w:p>
        </w:tc>
        <w:tc>
          <w:tcPr>
            <w:tcW w:type="dxa" w:w="1587"/>
            <w:vAlign w:val="center"/>
          </w:tcPr>
          <w:p>
            <w:pPr>
              <w:spacing w:before="40" w:after="40" w:line="240" w:lineRule="auto"/>
              <w:jc w:val="center"/>
            </w:pPr>
            <w:r>
              <w:rPr>
                <w:sz w:val="24"/>
              </w:rPr>
              <w:t>☐</w:t>
            </w:r>
          </w:p>
        </w:tc>
      </w:tr>
    </w:tbl>
    <w:p>
      <w:pPr>
        <w:spacing w:after="40"/>
      </w:pPr>
    </w:p>
    <w:p>
      <w:r>
        <w:t xml:space="preserve">Açık rızamı dilediğim zaman </w:t>
      </w:r>
      <w:r>
        <w:rPr>
          <w:color w:val="1260A8"/>
        </w:rPr>
        <w:t>[iletişim e-posta adresi]</w:t>
      </w:r>
      <w:r>
        <w:t xml:space="preserve"> adresine yazarak </w:t>
      </w:r>
      <w:r>
        <w:rPr>
          <w:color w:val="1260A8"/>
        </w:rPr>
        <w:t>[ya da hasta portalınızdaki veri talebi sayfasından]</w:t>
      </w:r>
      <w:r>
        <w:t xml:space="preserve"> geri alabileceğimi, geri almanın o zamana kadar yapılan işlemeleri etkilemeyeceğini biliyorum.</w:t>
      </w:r>
    </w:p>
    <w:tbl>
      <w:tblPr>
        <w:tblW w:type="dxa" w:w="9639"/>
        <w:jc w:val="center"/>
        <w:tblBorders>
          <w:top w:val="single" w:sz="4" w:space="0" w:color="D5DEE7"/>
          <w:left w:val="single" w:sz="4" w:space="0" w:color="D5DEE7"/>
          <w:bottom w:val="single" w:sz="4" w:space="0" w:color="D5DEE7"/>
          <w:right w:val="single" w:sz="4" w:space="0" w:color="D5DEE7"/>
          <w:insideH w:val="single" w:sz="4" w:space="0" w:color="D5DEE7"/>
          <w:insideV w:val="single" w:sz="4" w:space="0" w:color="D5DEE7"/>
        </w:tblBorders>
        <w:tblLayout w:type="fixed"/>
        <w:tblLook w:firstColumn="1" w:firstRow="1" w:lastColumn="0" w:lastRow="0" w:noHBand="0" w:noVBand="1" w:val="04A0"/>
      </w:tblPr>
      <w:tblGrid>
        <w:gridCol w:w="2041"/>
        <w:gridCol w:w="3628"/>
        <w:gridCol w:w="1247"/>
        <w:gridCol w:w="2721"/>
      </w:tblGrid>
      <w:tr>
        <w:tc>
          <w:tcPr>
            <w:tcW w:type="dxa" w:w="2041"/>
            <w:shd w:val="clear" w:color="auto" w:fill="F4F7FA"/>
            <w:vAlign w:val="center"/>
          </w:tcPr>
          <w:p>
            <w:pPr>
              <w:spacing w:before="40" w:after="40" w:line="240" w:lineRule="auto"/>
            </w:pPr>
            <w:r>
              <w:rPr>
                <w:color w:val="4E6070"/>
                <w:sz w:val="18"/>
              </w:rPr>
              <w:t>Ad soyad</w:t>
            </w:r>
          </w:p>
        </w:tc>
        <w:tc>
          <w:tcPr>
            <w:tcW w:type="dxa" w:w="3628"/>
            <w:vAlign w:val="center"/>
          </w:tcPr>
          <w:p>
            <w:pPr>
              <w:spacing w:before="40" w:after="40" w:line="240" w:lineRule="auto"/>
            </w:pPr>
          </w:p>
        </w:tc>
        <w:tc>
          <w:tcPr>
            <w:tcW w:type="dxa" w:w="1247"/>
            <w:shd w:val="clear" w:color="auto" w:fill="F4F7FA"/>
            <w:vAlign w:val="center"/>
          </w:tcPr>
          <w:p>
            <w:pPr>
              <w:spacing w:before="40" w:after="40" w:line="240" w:lineRule="auto"/>
            </w:pPr>
            <w:r>
              <w:rPr>
                <w:color w:val="4E6070"/>
                <w:sz w:val="18"/>
              </w:rPr>
              <w:t>Tarih</w:t>
            </w:r>
          </w:p>
        </w:tc>
        <w:tc>
          <w:tcPr>
            <w:tcW w:type="dxa" w:w="2721"/>
            <w:vAlign w:val="center"/>
          </w:tcPr>
          <w:p>
            <w:pPr>
              <w:spacing w:before="40" w:after="40" w:line="240" w:lineRule="auto"/>
            </w:pPr>
          </w:p>
        </w:tc>
      </w:tr>
      <w:tr>
        <w:trPr>
          <w:trHeight w:val="907" w:hRule="atLeast"/>
        </w:trPr>
        <w:tc>
          <w:tcPr>
            <w:tcW w:type="dxa" w:w="2041"/>
            <w:shd w:val="clear" w:color="auto" w:fill="F4F7FA"/>
            <w:vAlign w:val="center"/>
          </w:tcPr>
          <w:p>
            <w:pPr>
              <w:spacing w:before="40" w:after="40" w:line="240" w:lineRule="auto"/>
            </w:pPr>
            <w:r>
              <w:rPr>
                <w:color w:val="4E6070"/>
                <w:sz w:val="18"/>
              </w:rPr>
              <w:t>İmza</w:t>
            </w:r>
          </w:p>
        </w:tc>
        <w:tc>
          <w:tcPr>
            <w:tcW w:type="dxa" w:w="7596"/>
            <w:gridSpan w:val="3"/>
            <w:vAlign w:val="center"/>
          </w:tcPr>
          <w:p>
            <w:pPr>
              <w:spacing w:before="40" w:after="40" w:line="240" w:lineRule="auto"/>
            </w:pPr>
          </w:p>
        </w:tc>
      </w:tr>
      <w:tr>
        <w:tc>
          <w:tcPr>
            <w:tcW w:type="dxa" w:w="2041"/>
            <w:shd w:val="clear" w:color="auto" w:fill="F4F7FA"/>
            <w:vAlign w:val="center"/>
          </w:tcPr>
          <w:p>
            <w:pPr>
              <w:spacing w:before="40" w:after="40" w:line="240" w:lineRule="auto"/>
            </w:pPr>
            <w:r>
              <w:rPr>
                <w:color w:val="4E6070"/>
                <w:sz w:val="18"/>
              </w:rPr>
              <w:t>18 yaşından küçükse veli ya da vasinin adı soyadı ve imzası</w:t>
            </w:r>
          </w:p>
        </w:tc>
        <w:tc>
          <w:tcPr>
            <w:tcW w:type="dxa" w:w="7596"/>
            <w:gridSpan w:val="3"/>
            <w:vAlign w:val="center"/>
          </w:tcPr>
          <w:p>
            <w:pPr>
              <w:spacing w:before="40" w:after="40" w:line="240" w:lineRule="auto"/>
            </w:pPr>
          </w:p>
        </w:tc>
      </w:tr>
    </w:tbl>
    <w:p>
      <w:pPr>
        <w:spacing w:after="40"/>
      </w:pPr>
    </w:p>
    <w:p>
      <w:r>
        <w:rPr>
          <w:color w:val="4E6070"/>
          <w:sz w:val="17"/>
        </w:rPr>
        <w:t xml:space="preserve">Sürüm: </w:t>
      </w:r>
      <w:r>
        <w:rPr>
          <w:color w:val="1260A8"/>
          <w:sz w:val="17"/>
        </w:rPr>
        <w:t>[1.0]</w:t>
      </w:r>
      <w:r>
        <w:rPr>
          <w:color w:val="4E6070"/>
          <w:sz w:val="17"/>
        </w:rPr>
        <w:t xml:space="preserve">  ·  </w:t>
      </w:r>
      <w:r>
        <w:rPr>
          <w:color w:val="1260A8"/>
          <w:sz w:val="17"/>
        </w:rPr>
        <w:t>[GG.AA.YYYY]</w:t>
      </w:r>
    </w:p>
    <w:sectPr w:rsidR="00FC693F" w:rsidRPr="0006063C" w:rsidSect="00034616">
      <w:footerReference w:type="default" r:id="rId9"/>
      <w:headerReference w:type="default" r:id="rId10"/>
      <w:pgSz w:w="11906" w:h="16838"/>
      <w:pgMar w:top="1020" w:right="1134" w:bottom="1020"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38" w:val="right"/>
      </w:tabs>
    </w:pPr>
    <w:r>
      <w:rPr>
        <w:color w:val="4E6070"/>
        <w:sz w:val="16"/>
      </w:rPr>
      <w:t>Klinikbook — klinikbook.com</w:t>
      <w:tab/>
      <w:t xml:space="preserve">Sayfa </w:t>
    </w:r>
    <w:fldSimple w:instr="PAGE">
      <w:r>
        <w:rPr>
          <w:color w:val="4E6070"/>
          <w:sz w:val="16"/>
        </w:rPr>
        <w:t>1</w:t>
      </w:r>
    </w:fldSimple>
    <w:r>
      <w:rPr>
        <w:color w:val="4E6070"/>
        <w:sz w:val="16"/>
      </w:rPr>
      <w:t xml:space="preserve"> / </w:t>
    </w:r>
    <w:fldSimple w:instr="NUMPAGES">
      <w:r>
        <w:rPr>
          <w:color w:val="4E6070"/>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4E6070"/>
        <w:sz w:val="16"/>
      </w:rPr>
      <w:t>Örnek metin — avukatınızla birlikte uyarlayın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tr-T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s="Arial" w:eastAsia="Arial"/>
      <w:color w:val="0B1F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Arial" w:hAnsi="Arial" w:cs="Arial" w:eastAsia="Arial"/>
      <w:b/>
      <w:bCs/>
      <w:i w:val="0"/>
      <w:color w:val="0C3F73"/>
      <w:sz w:val="28"/>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cs="Arial" w:eastAsia="Arial"/>
      <w:b/>
      <w:bCs/>
      <w:i w:val="0"/>
      <w:color w:val="1260A8"/>
      <w:sz w:val="23"/>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Arial" w:hAnsi="Arial" w:cs="Arial" w:eastAsia="Arial"/>
      <w:b/>
      <w:bCs/>
      <w:i w:val="0"/>
      <w:color w:val="0B1F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Arial" w:hAnsi="Arial" w:cs="Arial" w:eastAsia="Arial"/>
      <w:b/>
      <w:i w:val="0"/>
      <w:color w:val="0C3F7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Aydınlatma metni ve açık rıza örneği</dc:title>
  <dc:subject>KVKK aydınlatma metni ve sağlık verileri için açık rıza metni örneği</dc:subject>
  <dc:creator>Klinikbook</dc:creator>
  <cp:keywords>Klinikbook</cp:keywords>
  <dc:description>Klinikbook — klinikbook.com</dc:description>
  <cp:lastModifiedBy>Klinikbook</cp:lastModifiedBy>
  <cp:revision>1</cp:revision>
  <dcterms:created xsi:type="dcterms:W3CDTF">2026-10-19T09:00:00Z</dcterms:created>
  <dcterms:modified xsi:type="dcterms:W3CDTF">2026-10-19T09:00:00Z</dcterms:modified>
  <cp:category>Şablon</cp:category>
  <dc:language>tr-TR</dc:language>
  <cp:lastPrinted>2026-10-19T09:00:00Z</cp:lastPrinted>
</cp:coreProperties>
</file>