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Notice and Explicit Consent: an Example</w:t>
      </w:r>
    </w:p>
    <w:p>
      <w:r>
        <w:rPr>
          <w:color w:val="4E6070"/>
          <w:sz w:val="20"/>
        </w:rPr>
        <w:t>Example texts under Türkiye's data protection law (KVKK) for clinics, private practices and health-tourism agencies, to fill in and adapt.</w:t>
      </w:r>
    </w:p>
    <w:tbl>
      <w:tblPr>
        <w:tblW w:type="dxa" w:w="9639"/>
        <w:jc w:val="center"/>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tcBorders>
              <w:left w:val="single" w:sz="24" w:space="0" w:color="C98A00"/>
            </w:tcBorders>
            <w:shd w:val="clear" w:color="auto" w:fill="FFF4DB"/>
          </w:tcPr>
          <w:p>
            <w:pPr>
              <w:spacing w:before="80"/>
            </w:pPr>
            <w:r>
              <w:rPr>
                <w:b/>
                <w:color w:val="7A4B00"/>
              </w:rPr>
              <w:t>Important: this is an example, not legal advice</w:t>
            </w:r>
          </w:p>
          <w:p>
            <w:pPr>
              <w:spacing w:after="80"/>
            </w:pPr>
            <w:r>
              <w:rPr>
                <w:color w:val="7A4B00"/>
                <w:sz w:val="19"/>
              </w:rPr>
              <w:t>These texts are a starting point adapted from the Türkiye pack templates Klinikbook uses in its compliance centre. Do not use them before adapting them to the way you work, with a lawyer.</w:t>
            </w:r>
          </w:p>
          <w:p>
            <w:pPr>
              <w:spacing w:after="80"/>
            </w:pPr>
            <w:r>
              <w:rPr>
                <w:color w:val="7A4B00"/>
                <w:sz w:val="19"/>
              </w:rPr>
              <w:t>Health data is a special category of personal data. Under article 6 of KVKK (Law No. 6698), as amended by Law No. 7499, it may be processed only with the patient's explicit consent or under another condition the law lists, such as medical diagnosis, treatment and care carried out by persons bound by professional secrecy (article 6(3)(e)). Decide with your lawyer which condition applies to you.</w:t>
            </w:r>
          </w:p>
          <w:p>
            <w:pPr>
              <w:spacing w:after="80"/>
            </w:pPr>
            <w:r>
              <w:rPr>
                <w:color w:val="7A4B00"/>
                <w:sz w:val="19"/>
              </w:rPr>
              <w:t>This example follows KVKK, the law for businesses in Türkiye, including those whose patients come from abroad. If your business is in the EU or the UK, your notice must follow articles 13 and 14 of the GDPR or the UK GDPR instead.</w:t>
            </w:r>
          </w:p>
        </w:tc>
      </w:tr>
    </w:tbl>
    <w:p>
      <w:pPr>
        <w:spacing w:after="40"/>
      </w:pPr>
    </w:p>
    <w:p>
      <w:pPr>
        <w:pStyle w:val="Heading2"/>
      </w:pPr>
      <w:r>
        <w:t>How to use this example</w:t>
      </w:r>
    </w:p>
    <w:p>
      <w:pPr>
        <w:pStyle w:val="ListBullet"/>
      </w:pPr>
      <w:r>
        <w:t xml:space="preserve">Fill in the </w:t>
      </w:r>
      <w:r>
        <w:rPr>
          <w:color w:val="1260A8"/>
        </w:rPr>
        <w:t>[fields in square brackets]</w:t>
      </w:r>
      <w:r>
        <w:t xml:space="preserve"> with your own details, and delete or change any sentence that does not fit.</w:t>
      </w:r>
    </w:p>
    <w:p>
      <w:pPr>
        <w:pStyle w:val="ListBullet"/>
      </w:pPr>
      <w:r>
        <w:t>In the "Health data" paragraph of the notice, keep the option that fits you: Option 1 for providers of health care, Option 2 for health-tourism agencies and other businesses that do not provide care.</w:t>
      </w:r>
    </w:p>
    <w:p>
      <w:pPr>
        <w:pStyle w:val="ListBullet"/>
      </w:pPr>
      <w:r>
        <w:t>Make the notice available wherever you collect personal data (website form, intake form, first message). You must inform people whether or not the processing relies on consent.</w:t>
      </w:r>
    </w:p>
    <w:p>
      <w:pPr>
        <w:pStyle w:val="ListBullet"/>
      </w:pPr>
      <w:r>
        <w:t>If you rely on explicit consent, ask for it in a text separate from the notice, for a specific purpose, and freely given.</w:t>
      </w:r>
    </w:p>
    <w:p>
      <w:pPr>
        <w:pStyle w:val="ListBullet"/>
      </w:pPr>
      <w:r>
        <w:t>You must be able to prove that you informed the person and, where relevant, obtained consent: keep a record of which version of which text was given to whom and when it was accepted.</w:t>
      </w:r>
    </w:p>
    <w:p>
      <w:pPr>
        <w:pStyle w:val="ListBullet"/>
      </w:pPr>
      <w:r>
        <w:t>Since 1 June 2024, transfers abroad (for example software with servers outside Türkiye, or partners abroad) follow the new article 9 of KVKK: an adequacy decision, appropriate safeguards (such as the standard contract announced by the Board, notified to the Authority within five business days of signing), or, for occasional transfers only, the listed exceptions. Explicit consent is one of those exceptions and is asked for after informing the person of the possible risks. Decide with your lawyer which one you rely on.</w:t>
      </w:r>
    </w:p>
    <w:p>
      <w:pPr>
        <w:pStyle w:val="Heading2"/>
      </w:pPr>
      <w:r>
        <w:t>Sources</w:t>
      </w:r>
    </w:p>
    <w:p>
      <w:pPr>
        <w:pStyle w:val="ListBullet"/>
      </w:pPr>
      <w:r>
        <w:t>Law No. 6698 on the Protection of Personal Data, English translation by the Personal Data Protection Authority (the Turkish text prevails): https://www.kvkk.gov.tr/Icerik/6649/Personal-Data-Protection-Law</w:t>
      </w:r>
    </w:p>
    <w:p>
      <w:pPr>
        <w:pStyle w:val="ListBullet"/>
      </w:pPr>
      <w:r>
        <w:t>Law No. 6698, current Turkish text: https://www.mevzuat.gov.tr/mevzuatmetin/1.5.6698.pdf</w:t>
      </w:r>
    </w:p>
    <w:p>
      <w:pPr>
        <w:pStyle w:val="ListBullet"/>
      </w:pPr>
      <w:r>
        <w:t>Law No. 7499 amending the Criminal Procedure Code and certain other laws, Official Gazette No. 32487, 12 March 2024: https://www.resmigazete.gov.tr/eskiler/2024/03/20240312-1.htm</w:t>
      </w:r>
    </w:p>
    <w:p>
      <w:pPr>
        <w:pStyle w:val="ListBullet"/>
      </w:pPr>
      <w:r>
        <w:t>Communiqué on the procedures and principles of the obligation to inform, Official Gazette No. 30356, 10 March 2018: https://www.resmigazete.gov.tr/eskiler/2018/03/20180310-5.htm</w:t>
      </w:r>
    </w:p>
    <w:p>
      <w:r>
        <w:rPr>
          <w:color w:val="4E6070"/>
          <w:sz w:val="17"/>
        </w:rPr>
        <w:t>Sources checked on 19 October 2026.</w:t>
      </w:r>
    </w:p>
    <w:p>
      <w:r>
        <w:br w:type="page"/>
      </w:r>
    </w:p>
    <w:p>
      <w:pPr>
        <w:pStyle w:val="Heading1"/>
      </w:pPr>
      <w:r>
        <w:rPr>
          <w:color w:val="1260A8"/>
        </w:rPr>
        <w:t>[Clinic name]</w:t>
      </w:r>
      <w:r>
        <w:t xml:space="preserve"> Privacy Notice</w:t>
      </w:r>
    </w:p>
    <w:p>
      <w:r>
        <w:t>This notice explains how your personal data is processed, as required by article 10 of Türkiye's Law No. 6698 on the Protection of Personal Data ("KVKK").</w:t>
      </w:r>
    </w:p>
    <w:p>
      <w:pPr>
        <w:pStyle w:val="Heading2"/>
      </w:pPr>
      <w:r>
        <w:t>Data controller</w:t>
      </w:r>
    </w:p>
    <w:p>
      <w:r>
        <w:t xml:space="preserve">Your personal data is processed by </w:t>
      </w:r>
      <w:r>
        <w:rPr>
          <w:color w:val="1260A8"/>
        </w:rPr>
        <w:t>[Clinic's registered name]</w:t>
      </w:r>
      <w:r>
        <w:t xml:space="preserve"> ("</w:t>
      </w:r>
      <w:r>
        <w:rPr>
          <w:color w:val="1260A8"/>
        </w:rPr>
        <w:t>[Clinic name]</w:t>
      </w:r>
      <w:r>
        <w:t>") as data controller.</w:t>
      </w:r>
    </w:p>
    <w:p>
      <w:pPr>
        <w:pStyle w:val="ListBullet"/>
      </w:pPr>
      <w:r>
        <w:t xml:space="preserve">Address: </w:t>
      </w:r>
      <w:r>
        <w:rPr>
          <w:color w:val="1260A8"/>
        </w:rPr>
        <w:t>[Full address]</w:t>
      </w:r>
    </w:p>
    <w:p>
      <w:pPr>
        <w:pStyle w:val="ListBullet"/>
      </w:pPr>
      <w:r>
        <w:t xml:space="preserve">E-mail: </w:t>
      </w:r>
      <w:r>
        <w:rPr>
          <w:color w:val="1260A8"/>
        </w:rPr>
        <w:t>[Contact e-mail address]</w:t>
      </w:r>
    </w:p>
    <w:p>
      <w:pPr>
        <w:pStyle w:val="ListBullet"/>
      </w:pPr>
      <w:r>
        <w:t xml:space="preserve">Registered electronic mail (KEP): </w:t>
      </w:r>
      <w:r>
        <w:rPr>
          <w:color w:val="1260A8"/>
        </w:rPr>
        <w:t>[KEP address, if any]</w:t>
      </w:r>
    </w:p>
    <w:p>
      <w:pPr>
        <w:pStyle w:val="ListBullet"/>
      </w:pPr>
      <w:r>
        <w:t xml:space="preserve">Phone: </w:t>
      </w:r>
      <w:r>
        <w:rPr>
          <w:color w:val="1260A8"/>
        </w:rPr>
        <w:t>[Phone]</w:t>
      </w:r>
    </w:p>
    <w:p>
      <w:pPr>
        <w:pStyle w:val="Heading2"/>
      </w:pPr>
      <w:r>
        <w:t>The data we process</w:t>
      </w:r>
    </w:p>
    <w:p>
      <w:pPr>
        <w:pStyle w:val="ListBullet"/>
      </w:pPr>
      <w:r>
        <w:t>Identity and contact details: your name, e-mail address, phone number, country and preferred language.</w:t>
      </w:r>
    </w:p>
    <w:p>
      <w:pPr>
        <w:pStyle w:val="ListBullet"/>
      </w:pPr>
      <w:r>
        <w:t>Your enquiry and its progress: the services you are interested in, the quotes you receive, your appointments, your travel and accommodation plan.</w:t>
      </w:r>
    </w:p>
    <w:p>
      <w:pPr>
        <w:pStyle w:val="ListBullet"/>
      </w:pPr>
      <w:r>
        <w:t>Health data (a special category of personal data): your answers to our forms, the photos and documents you share, your answers to aftercare check-ins.</w:t>
      </w:r>
    </w:p>
    <w:p>
      <w:pPr>
        <w:pStyle w:val="ListBullet"/>
      </w:pPr>
      <w:r>
        <w:t>Financial details: your payment plan, payment records and the receipts you send.</w:t>
      </w:r>
    </w:p>
    <w:p>
      <w:pPr>
        <w:pStyle w:val="ListBullet"/>
      </w:pPr>
      <w:r>
        <w:t>Your consents and preferences: marketing consents and how you prefer to be contacted.</w:t>
      </w:r>
    </w:p>
    <w:p>
      <w:pPr>
        <w:pStyle w:val="Heading2"/>
      </w:pPr>
      <w:r>
        <w:t>Why we process it</w:t>
      </w:r>
    </w:p>
    <w:p>
      <w:pPr>
        <w:pStyle w:val="ListBullet"/>
      </w:pPr>
      <w:r>
        <w:t>To receive your enquiry, get back to you and keep you informed.</w:t>
      </w:r>
    </w:p>
    <w:p>
      <w:pPr>
        <w:pStyle w:val="ListBullet"/>
      </w:pPr>
      <w:r>
        <w:t>To assess your treatment options, prepare quotes, and plan appointments and travel.</w:t>
      </w:r>
    </w:p>
    <w:p>
      <w:pPr>
        <w:pStyle w:val="ListBullet"/>
      </w:pPr>
      <w:r>
        <w:t>To carry out your treatment and its aftercare.</w:t>
      </w:r>
    </w:p>
    <w:p>
      <w:pPr>
        <w:pStyle w:val="ListBullet"/>
      </w:pPr>
      <w:r>
        <w:t>To follow payments and meet our accounting and tax obligations.</w:t>
      </w:r>
    </w:p>
    <w:p>
      <w:pPr>
        <w:pStyle w:val="ListBullet"/>
      </w:pPr>
      <w:r>
        <w:t>To meet our legal obligations and protect our rights in a dispute.</w:t>
      </w:r>
    </w:p>
    <w:p>
      <w:pPr>
        <w:pStyle w:val="ListBullet"/>
      </w:pPr>
      <w:r>
        <w:t>With your consent, to send you offers and news.</w:t>
      </w:r>
    </w:p>
    <w:p>
      <w:pPr>
        <w:pStyle w:val="Heading2"/>
      </w:pPr>
      <w:r>
        <w:t>Legal grounds</w:t>
      </w:r>
    </w:p>
    <w:p>
      <w:r>
        <w:t>We process your personal data to enter into or perform a contract (KVKK article 5(2)(c)), to meet our legal obligations (5(2)(ç)), to establish, exercise or defend a right (5(2)(e)) and for our legitimate interests where they do not harm your fundamental rights (5(2)(f)).</w:t>
      </w:r>
    </w:p>
    <w:p>
      <w:pPr>
        <w:pStyle w:val="Heading3"/>
      </w:pPr>
      <w:r>
        <w:t>Health data</w:t>
      </w:r>
    </w:p>
    <w:p>
      <w:r>
        <w:rPr>
          <w:color w:val="1260A8"/>
        </w:rPr>
        <w:t>[Option 1 — for providers of health care:]</w:t>
      </w:r>
      <w:r>
        <w:t xml:space="preserve"> Your health data is processed under KVKK article 6(3)(e) by persons bound by professional secrecy, to carry out medical diagnosis, treatment and care; for any other processing or transfer we ask for your explicit consent.</w:t>
      </w:r>
    </w:p>
    <w:p>
      <w:r>
        <w:rPr>
          <w:color w:val="1260A8"/>
        </w:rPr>
        <w:t>[Option 2 — for health-tourism agencies and other businesses that do not provide care:]</w:t>
      </w:r>
      <w:r>
        <w:t xml:space="preserve"> Your health data is processed on the basis of your separate explicit consent (KVKK article 6(3)(a)), only to assess your treatment options and organise your journey.</w:t>
      </w:r>
    </w:p>
    <w:p>
      <w:r>
        <w:t>Marketing messages are sent only with your consent.</w:t>
      </w:r>
    </w:p>
    <w:p>
      <w:pPr>
        <w:pStyle w:val="Heading2"/>
      </w:pPr>
      <w:r>
        <w:t>How we collect it</w:t>
      </w:r>
    </w:p>
    <w:p>
      <w:r>
        <w:t xml:space="preserve">We collect your personal data electronically and on paper: through the forms on our website, </w:t>
      </w:r>
      <w:r>
        <w:rPr>
          <w:color w:val="1260A8"/>
        </w:rPr>
        <w:t>[our patient portal / intake form]</w:t>
      </w:r>
      <w:r>
        <w:t>, by e-mail, by phone, in person and through our partners.</w:t>
      </w:r>
    </w:p>
    <w:p>
      <w:pPr>
        <w:pStyle w:val="Heading2"/>
      </w:pPr>
      <w:r>
        <w:t>Who receives it</w:t>
      </w:r>
    </w:p>
    <w:p>
      <w:r>
        <w:t>As far as your treatment requires, your data may be shared with the health facilities and doctors providing it, with our partners for accommodation, transfers and interpreting, with the providers of our payment and accounting services, and with public authorities where the law requires.</w:t>
      </w:r>
    </w:p>
    <w:p>
      <w:r>
        <w:t xml:space="preserve">Your data is stored by </w:t>
      </w:r>
      <w:r>
        <w:rPr>
          <w:color w:val="1260A8"/>
        </w:rPr>
        <w:t>[name of your software or cloud provider]</w:t>
      </w:r>
      <w:r>
        <w:t xml:space="preserve">, which processes it for us as data processor, on servers in </w:t>
      </w:r>
      <w:r>
        <w:rPr>
          <w:color w:val="1260A8"/>
        </w:rPr>
        <w:t>[country of the servers]</w:t>
      </w:r>
      <w:r>
        <w:t xml:space="preserve">. Transfers to servers and partners outside Türkiye follow the conditions of KVKK article 9: </w:t>
      </w:r>
      <w:r>
        <w:rPr>
          <w:color w:val="1260A8"/>
        </w:rPr>
        <w:t>[the transfer route you rely on, e.g. an adequacy decision, a standard contract notified to the Authority, or explicit consent]</w:t>
      </w:r>
      <w:r>
        <w:t>.</w:t>
      </w:r>
    </w:p>
    <w:p>
      <w:pPr>
        <w:pStyle w:val="Heading2"/>
      </w:pPr>
      <w:r>
        <w:t>How long we keep it</w:t>
      </w:r>
    </w:p>
    <w:p>
      <w:r>
        <w:t xml:space="preserve">We keep your personal data for as long as its purposes require and the law prescribes. Data about enquiries that do not lead to treatment is deleted </w:t>
      </w:r>
      <w:r>
        <w:rPr>
          <w:color w:val="1260A8"/>
        </w:rPr>
        <w:t>[period]</w:t>
      </w:r>
      <w:r>
        <w:t xml:space="preserve"> after the enquiry is closed.</w:t>
      </w:r>
    </w:p>
    <w:p>
      <w:pPr>
        <w:pStyle w:val="Heading2"/>
      </w:pPr>
      <w:r>
        <w:t>Your rights</w:t>
      </w:r>
    </w:p>
    <w:p>
      <w:r>
        <w:t>Under KVKK article 11 you may learn whether your data is processed and request information about it, learn the purpose of the processing and whether the data is used accordingly, know the third parties in Türkiye or abroad it is transferred to, ask for incomplete or inaccurate data to be corrected, ask for its erasure or destruction under the conditions of article 7 and for these steps to be notified to the third parties it was transferred to, object to an outcome against you that results solely from automated analysis, and claim compensation for damage caused by unlawful processing.</w:t>
      </w:r>
    </w:p>
    <w:p>
      <w:pPr>
        <w:pStyle w:val="Heading2"/>
      </w:pPr>
      <w:r>
        <w:t>How to make a request</w:t>
      </w:r>
    </w:p>
    <w:p>
      <w:r>
        <w:t xml:space="preserve">Send your request by e-mail to </w:t>
      </w:r>
      <w:r>
        <w:rPr>
          <w:color w:val="1260A8"/>
        </w:rPr>
        <w:t>[contact e-mail address]</w:t>
      </w:r>
      <w:r>
        <w:t xml:space="preserve">, through </w:t>
      </w:r>
      <w:r>
        <w:rPr>
          <w:color w:val="1260A8"/>
        </w:rPr>
        <w:t>[KEP address, if any]</w:t>
      </w:r>
      <w:r>
        <w:t xml:space="preserve"> or in writing to the address above. </w:t>
      </w:r>
      <w:r>
        <w:rPr>
          <w:color w:val="1260A8"/>
        </w:rPr>
        <w:t>[If you have one: the address of the data request page on your patient portal.]</w:t>
      </w:r>
      <w:r>
        <w:t xml:space="preserve"> We answer free of charge within thirty days at the latest.</w:t>
      </w:r>
    </w:p>
    <w:p>
      <w:r>
        <w:rPr>
          <w:color w:val="4E6070"/>
          <w:sz w:val="17"/>
        </w:rPr>
        <w:t xml:space="preserve">Version: </w:t>
      </w:r>
      <w:r>
        <w:rPr>
          <w:color w:val="1260A8"/>
          <w:sz w:val="17"/>
        </w:rPr>
        <w:t>[1.0]</w:t>
      </w:r>
      <w:r>
        <w:rPr>
          <w:color w:val="4E6070"/>
          <w:sz w:val="17"/>
        </w:rPr>
        <w:t xml:space="preserve">  ·  In force from: </w:t>
      </w:r>
      <w:r>
        <w:rPr>
          <w:color w:val="1260A8"/>
          <w:sz w:val="17"/>
        </w:rPr>
        <w:t>[DD Month YYYY]</w:t>
      </w:r>
    </w:p>
    <w:p>
      <w:r>
        <w:br w:type="page"/>
      </w:r>
    </w:p>
    <w:p>
      <w:pPr>
        <w:pStyle w:val="Heading1"/>
      </w:pPr>
      <w:r>
        <w:t>Explicit Consent to the Processing of Health Data</w:t>
      </w:r>
    </w:p>
    <w:p>
      <w:r>
        <w:t xml:space="preserve">I have read and understood the Privacy Notice of </w:t>
      </w:r>
      <w:r>
        <w:rPr>
          <w:color w:val="1260A8"/>
        </w:rPr>
        <w:t>[Clinic's registered name]</w:t>
      </w:r>
      <w:r>
        <w:t>. Of my own free will, I give my explicit consent to the points I tick below.</w:t>
      </w:r>
    </w:p>
    <w:tbl>
      <w:tblPr>
        <w:tblW w:type="dxa" w:w="9639"/>
        <w:jc w:val="center"/>
        <w:tblBorders>
          <w:top w:val="single" w:sz="4" w:space="0" w:color="D5DEE7"/>
          <w:left w:val="single" w:sz="4" w:space="0" w:color="D5DEE7"/>
          <w:bottom w:val="single" w:sz="4" w:space="0" w:color="D5DEE7"/>
          <w:right w:val="single" w:sz="4" w:space="0" w:color="D5DEE7"/>
          <w:insideH w:val="single" w:sz="4" w:space="0" w:color="D5DEE7"/>
          <w:insideV w:val="single" w:sz="4" w:space="0" w:color="D5DEE7"/>
        </w:tblBorders>
        <w:tblLayout w:type="fixed"/>
        <w:tblLook w:firstColumn="1" w:firstRow="1" w:lastColumn="0" w:lastRow="0" w:noHBand="0" w:noVBand="1" w:val="04A0"/>
      </w:tblPr>
      <w:tblGrid>
        <w:gridCol w:w="6463"/>
        <w:gridCol w:w="1587"/>
        <w:gridCol w:w="1587"/>
      </w:tblGrid>
      <w:tr>
        <w:trPr>
          <w:tblHeader w:val="true"/>
        </w:trPr>
        <w:tc>
          <w:tcPr>
            <w:tcW w:type="dxa" w:w="6463"/>
            <w:shd w:val="clear" w:color="auto" w:fill="1260A8"/>
            <w:vAlign w:val="center"/>
          </w:tcPr>
          <w:p>
            <w:pPr>
              <w:spacing w:before="40" w:after="40" w:line="240" w:lineRule="auto"/>
            </w:pPr>
            <w:r>
              <w:rPr>
                <w:b/>
                <w:color w:val="FFFFFF"/>
                <w:sz w:val="20"/>
              </w:rPr>
              <w:t>Purpose</w:t>
            </w:r>
          </w:p>
        </w:tc>
        <w:tc>
          <w:tcPr>
            <w:tcW w:type="dxa" w:w="1587"/>
            <w:shd w:val="clear" w:color="auto" w:fill="1260A8"/>
            <w:vAlign w:val="center"/>
          </w:tcPr>
          <w:p>
            <w:pPr>
              <w:spacing w:before="40" w:after="40" w:line="240" w:lineRule="auto"/>
            </w:pPr>
            <w:r>
              <w:rPr>
                <w:b/>
                <w:color w:val="FFFFFF"/>
                <w:sz w:val="20"/>
              </w:rPr>
              <w:t>I agree</w:t>
            </w:r>
          </w:p>
        </w:tc>
        <w:tc>
          <w:tcPr>
            <w:tcW w:type="dxa" w:w="1587"/>
            <w:shd w:val="clear" w:color="auto" w:fill="1260A8"/>
            <w:vAlign w:val="center"/>
          </w:tcPr>
          <w:p>
            <w:pPr>
              <w:spacing w:before="40" w:after="40" w:line="240" w:lineRule="auto"/>
            </w:pPr>
            <w:r>
              <w:rPr>
                <w:b/>
                <w:color w:val="FFFFFF"/>
                <w:sz w:val="20"/>
              </w:rPr>
              <w:t>I do not agree</w:t>
            </w:r>
          </w:p>
        </w:tc>
      </w:tr>
      <w:tr>
        <w:tc>
          <w:tcPr>
            <w:tcW w:type="dxa" w:w="6463"/>
            <w:vAlign w:val="center"/>
          </w:tcPr>
          <w:p>
            <w:pPr>
              <w:spacing w:before="40" w:after="40" w:line="240" w:lineRule="auto"/>
            </w:pPr>
            <w:r>
              <w:rPr>
                <w:sz w:val="20"/>
              </w:rPr>
              <w:t>The processing of the health information, photos and documents I share in forms, to assess my treatment options, prepare quotes for me and carry out my treatment and its aftercare</w:t>
            </w:r>
          </w:p>
        </w:tc>
        <w:tc>
          <w:tcPr>
            <w:tcW w:type="dxa" w:w="1587"/>
            <w:vAlign w:val="center"/>
          </w:tcPr>
          <w:p>
            <w:pPr>
              <w:spacing w:before="40" w:after="40" w:line="240" w:lineRule="auto"/>
              <w:jc w:val="center"/>
            </w:pPr>
            <w:r>
              <w:rPr>
                <w:sz w:val="24"/>
              </w:rPr>
              <w:t>☐</w:t>
            </w:r>
          </w:p>
        </w:tc>
        <w:tc>
          <w:tcPr>
            <w:tcW w:type="dxa" w:w="1587"/>
            <w:vAlign w:val="center"/>
          </w:tcPr>
          <w:p>
            <w:pPr>
              <w:spacing w:before="40" w:after="40" w:line="240" w:lineRule="auto"/>
              <w:jc w:val="center"/>
            </w:pPr>
            <w:r>
              <w:rPr>
                <w:sz w:val="24"/>
              </w:rPr>
              <w:t>☐</w:t>
            </w:r>
          </w:p>
        </w:tc>
      </w:tr>
      <w:tr>
        <w:tc>
          <w:tcPr>
            <w:tcW w:type="dxa" w:w="6463"/>
            <w:vAlign w:val="center"/>
          </w:tcPr>
          <w:p>
            <w:pPr>
              <w:spacing w:before="40" w:after="40" w:line="240" w:lineRule="auto"/>
            </w:pPr>
            <w:r>
              <w:rPr>
                <w:sz w:val="20"/>
              </w:rPr>
              <w:t>Sharing this data with the health facilities and doctors providing my treatment and, as far as my journey requires, with partners providing accommodation, transfers and interpreting</w:t>
            </w:r>
          </w:p>
        </w:tc>
        <w:tc>
          <w:tcPr>
            <w:tcW w:type="dxa" w:w="1587"/>
            <w:vAlign w:val="center"/>
          </w:tcPr>
          <w:p>
            <w:pPr>
              <w:spacing w:before="40" w:after="40" w:line="240" w:lineRule="auto"/>
              <w:jc w:val="center"/>
            </w:pPr>
            <w:r>
              <w:rPr>
                <w:sz w:val="24"/>
              </w:rPr>
              <w:t>☐</w:t>
            </w:r>
          </w:p>
        </w:tc>
        <w:tc>
          <w:tcPr>
            <w:tcW w:type="dxa" w:w="1587"/>
            <w:vAlign w:val="center"/>
          </w:tcPr>
          <w:p>
            <w:pPr>
              <w:spacing w:before="40" w:after="40" w:line="240" w:lineRule="auto"/>
              <w:jc w:val="center"/>
            </w:pPr>
            <w:r>
              <w:rPr>
                <w:sz w:val="24"/>
              </w:rPr>
              <w:t>☐</w:t>
            </w:r>
          </w:p>
        </w:tc>
      </w:tr>
      <w:tr>
        <w:tc>
          <w:tcPr>
            <w:tcW w:type="dxa" w:w="6463"/>
            <w:vAlign w:val="center"/>
          </w:tcPr>
          <w:p>
            <w:pPr>
              <w:spacing w:before="40" w:after="40" w:line="240" w:lineRule="auto"/>
            </w:pPr>
            <w:r>
              <w:rPr>
                <w:sz w:val="20"/>
              </w:rPr>
              <w:t xml:space="preserve">Transferring my data abroad where these partners are outside Türkiye. I have been told the possible risks of the transfer: </w:t>
            </w:r>
            <w:r>
              <w:rPr>
                <w:color w:val="1260A8"/>
                <w:sz w:val="20"/>
              </w:rPr>
              <w:t>[describe the possible risks briefly, e.g. that the receiving country may not offer the same level of protection as Türkiye]</w:t>
            </w:r>
          </w:p>
        </w:tc>
        <w:tc>
          <w:tcPr>
            <w:tcW w:type="dxa" w:w="1587"/>
            <w:vAlign w:val="center"/>
          </w:tcPr>
          <w:p>
            <w:pPr>
              <w:spacing w:before="40" w:after="40" w:line="240" w:lineRule="auto"/>
              <w:jc w:val="center"/>
            </w:pPr>
            <w:r>
              <w:rPr>
                <w:sz w:val="24"/>
              </w:rPr>
              <w:t>☐</w:t>
            </w:r>
          </w:p>
        </w:tc>
        <w:tc>
          <w:tcPr>
            <w:tcW w:type="dxa" w:w="1587"/>
            <w:vAlign w:val="center"/>
          </w:tcPr>
          <w:p>
            <w:pPr>
              <w:spacing w:before="40" w:after="40" w:line="240" w:lineRule="auto"/>
              <w:jc w:val="center"/>
            </w:pPr>
            <w:r>
              <w:rPr>
                <w:sz w:val="24"/>
              </w:rPr>
              <w:t>☐</w:t>
            </w:r>
          </w:p>
        </w:tc>
      </w:tr>
    </w:tbl>
    <w:p>
      <w:pPr>
        <w:spacing w:after="40"/>
      </w:pPr>
    </w:p>
    <w:p>
      <w:r>
        <w:t xml:space="preserve">I know I can withdraw this consent at any time by writing to </w:t>
      </w:r>
      <w:r>
        <w:rPr>
          <w:color w:val="1260A8"/>
        </w:rPr>
        <w:t>[contact e-mail address]</w:t>
      </w:r>
      <w:r>
        <w:t xml:space="preserve"> </w:t>
      </w:r>
      <w:r>
        <w:rPr>
          <w:color w:val="1260A8"/>
        </w:rPr>
        <w:t>[or from the data request page of your patient portal]</w:t>
      </w:r>
      <w:r>
        <w:t>, and that withdrawing it does not affect the processing carried out before.</w:t>
      </w:r>
    </w:p>
    <w:tbl>
      <w:tblPr>
        <w:tblW w:type="dxa" w:w="9639"/>
        <w:jc w:val="center"/>
        <w:tblBorders>
          <w:top w:val="single" w:sz="4" w:space="0" w:color="D5DEE7"/>
          <w:left w:val="single" w:sz="4" w:space="0" w:color="D5DEE7"/>
          <w:bottom w:val="single" w:sz="4" w:space="0" w:color="D5DEE7"/>
          <w:right w:val="single" w:sz="4" w:space="0" w:color="D5DEE7"/>
          <w:insideH w:val="single" w:sz="4" w:space="0" w:color="D5DEE7"/>
          <w:insideV w:val="single" w:sz="4" w:space="0" w:color="D5DEE7"/>
        </w:tblBorders>
        <w:tblLayout w:type="fixed"/>
        <w:tblLook w:firstColumn="1" w:firstRow="1" w:lastColumn="0" w:lastRow="0" w:noHBand="0" w:noVBand="1" w:val="04A0"/>
      </w:tblPr>
      <w:tblGrid>
        <w:gridCol w:w="2041"/>
        <w:gridCol w:w="3628"/>
        <w:gridCol w:w="1247"/>
        <w:gridCol w:w="2721"/>
      </w:tblGrid>
      <w:tr>
        <w:tc>
          <w:tcPr>
            <w:tcW w:type="dxa" w:w="2041"/>
            <w:shd w:val="clear" w:color="auto" w:fill="F4F7FA"/>
            <w:vAlign w:val="center"/>
          </w:tcPr>
          <w:p>
            <w:pPr>
              <w:spacing w:before="40" w:after="40" w:line="240" w:lineRule="auto"/>
            </w:pPr>
            <w:r>
              <w:rPr>
                <w:color w:val="4E6070"/>
                <w:sz w:val="18"/>
              </w:rPr>
              <w:t>Full name</w:t>
            </w:r>
          </w:p>
        </w:tc>
        <w:tc>
          <w:tcPr>
            <w:tcW w:type="dxa" w:w="3628"/>
            <w:vAlign w:val="center"/>
          </w:tcPr>
          <w:p>
            <w:pPr>
              <w:spacing w:before="40" w:after="40" w:line="240" w:lineRule="auto"/>
            </w:pPr>
          </w:p>
        </w:tc>
        <w:tc>
          <w:tcPr>
            <w:tcW w:type="dxa" w:w="1247"/>
            <w:shd w:val="clear" w:color="auto" w:fill="F4F7FA"/>
            <w:vAlign w:val="center"/>
          </w:tcPr>
          <w:p>
            <w:pPr>
              <w:spacing w:before="40" w:after="40" w:line="240" w:lineRule="auto"/>
            </w:pPr>
            <w:r>
              <w:rPr>
                <w:color w:val="4E6070"/>
                <w:sz w:val="18"/>
              </w:rPr>
              <w:t>Date</w:t>
            </w:r>
          </w:p>
        </w:tc>
        <w:tc>
          <w:tcPr>
            <w:tcW w:type="dxa" w:w="2721"/>
            <w:vAlign w:val="center"/>
          </w:tcPr>
          <w:p>
            <w:pPr>
              <w:spacing w:before="40" w:after="40" w:line="240" w:lineRule="auto"/>
            </w:pPr>
          </w:p>
        </w:tc>
      </w:tr>
      <w:tr>
        <w:trPr>
          <w:trHeight w:val="907" w:hRule="atLeast"/>
        </w:trPr>
        <w:tc>
          <w:tcPr>
            <w:tcW w:type="dxa" w:w="2041"/>
            <w:shd w:val="clear" w:color="auto" w:fill="F4F7FA"/>
            <w:vAlign w:val="center"/>
          </w:tcPr>
          <w:p>
            <w:pPr>
              <w:spacing w:before="40" w:after="40" w:line="240" w:lineRule="auto"/>
            </w:pPr>
            <w:r>
              <w:rPr>
                <w:color w:val="4E6070"/>
                <w:sz w:val="18"/>
              </w:rPr>
              <w:t>Signature</w:t>
            </w:r>
          </w:p>
        </w:tc>
        <w:tc>
          <w:tcPr>
            <w:tcW w:type="dxa" w:w="7596"/>
            <w:gridSpan w:val="3"/>
            <w:vAlign w:val="center"/>
          </w:tcPr>
          <w:p>
            <w:pPr>
              <w:spacing w:before="40" w:after="40" w:line="240" w:lineRule="auto"/>
            </w:pPr>
          </w:p>
        </w:tc>
      </w:tr>
      <w:tr>
        <w:tc>
          <w:tcPr>
            <w:tcW w:type="dxa" w:w="2041"/>
            <w:shd w:val="clear" w:color="auto" w:fill="F4F7FA"/>
            <w:vAlign w:val="center"/>
          </w:tcPr>
          <w:p>
            <w:pPr>
              <w:spacing w:before="40" w:after="40" w:line="240" w:lineRule="auto"/>
            </w:pPr>
            <w:r>
              <w:rPr>
                <w:color w:val="4E6070"/>
                <w:sz w:val="18"/>
              </w:rPr>
              <w:t>If under 18: name and signature of parent or guardian</w:t>
            </w:r>
          </w:p>
        </w:tc>
        <w:tc>
          <w:tcPr>
            <w:tcW w:type="dxa" w:w="7596"/>
            <w:gridSpan w:val="3"/>
            <w:vAlign w:val="center"/>
          </w:tcPr>
          <w:p>
            <w:pPr>
              <w:spacing w:before="40" w:after="40" w:line="240" w:lineRule="auto"/>
            </w:pPr>
          </w:p>
        </w:tc>
      </w:tr>
    </w:tbl>
    <w:p>
      <w:pPr>
        <w:spacing w:after="40"/>
      </w:pPr>
    </w:p>
    <w:p>
      <w:r>
        <w:rPr>
          <w:color w:val="4E6070"/>
          <w:sz w:val="17"/>
        </w:rPr>
        <w:t xml:space="preserve">Version: </w:t>
      </w:r>
      <w:r>
        <w:rPr>
          <w:color w:val="1260A8"/>
          <w:sz w:val="17"/>
        </w:rPr>
        <w:t>[1.0]</w:t>
      </w:r>
      <w:r>
        <w:rPr>
          <w:color w:val="4E6070"/>
          <w:sz w:val="17"/>
        </w:rPr>
        <w:t xml:space="preserve">  ·  </w:t>
      </w:r>
      <w:r>
        <w:rPr>
          <w:color w:val="1260A8"/>
          <w:sz w:val="17"/>
        </w:rPr>
        <w:t>[DD Month YYYY]</w:t>
      </w:r>
    </w:p>
    <w:sectPr w:rsidR="00FC693F" w:rsidRPr="0006063C" w:rsidSect="00034616">
      <w:footerReference w:type="default" r:id="rId9"/>
      <w:headerReference w:type="default" r:id="rId10"/>
      <w:pgSz w:w="11906" w:h="16838"/>
      <w:pgMar w:top="1020" w:right="1134" w:bottom="1020"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38" w:val="right"/>
      </w:tabs>
    </w:pPr>
    <w:r>
      <w:rPr>
        <w:color w:val="4E6070"/>
        <w:sz w:val="16"/>
      </w:rPr>
      <w:t>Klinikbook — klinikbook.com</w:t>
      <w:tab/>
      <w:t xml:space="preserve">Page </w:t>
    </w:r>
    <w:fldSimple w:instr="PAGE">
      <w:r>
        <w:rPr>
          <w:color w:val="4E6070"/>
          <w:sz w:val="16"/>
        </w:rPr>
        <w:t>1</w:t>
      </w:r>
    </w:fldSimple>
    <w:r>
      <w:rPr>
        <w:color w:val="4E6070"/>
        <w:sz w:val="16"/>
      </w:rPr>
      <w:t xml:space="preserve"> / </w:t>
    </w:r>
    <w:fldSimple w:instr="NUMPAGES">
      <w:r>
        <w:rPr>
          <w:color w:val="4E6070"/>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4E6070"/>
        <w:sz w:val="16"/>
      </w:rPr>
      <w:t>Example text — adapt it with your lawyer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s="Arial" w:eastAsia="Arial"/>
      <w:color w:val="0B1F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Arial" w:hAnsi="Arial" w:cs="Arial" w:eastAsia="Arial"/>
      <w:b/>
      <w:bCs/>
      <w:i w:val="0"/>
      <w:color w:val="0C3F73"/>
      <w:sz w:val="28"/>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i w:val="0"/>
      <w:color w:val="1260A8"/>
      <w:sz w:val="23"/>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Arial" w:hAnsi="Arial" w:cs="Arial" w:eastAsia="Arial"/>
      <w:b/>
      <w:bCs/>
      <w:i w:val="0"/>
      <w:color w:val="0B1F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Arial" w:hAnsi="Arial" w:cs="Arial" w:eastAsia="Arial"/>
      <w:b/>
      <w:i w:val="0"/>
      <w:color w:val="0C3F7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and explicit consent example</dc:title>
  <dc:subject>An example KVKK privacy notice and explicit consent text for health data</dc:subject>
  <dc:creator>Klinikbook</dc:creator>
  <cp:keywords>Klinikbook</cp:keywords>
  <dc:description>Klinikbook — klinikbook.com</dc:description>
  <cp:lastModifiedBy>Klinikbook</cp:lastModifiedBy>
  <cp:revision>1</cp:revision>
  <dcterms:created xsi:type="dcterms:W3CDTF">2026-10-19T09:00:00Z</dcterms:created>
  <dcterms:modified xsi:type="dcterms:W3CDTF">2026-10-19T09:00:00Z</dcterms:modified>
  <cp:category>Template</cp:category>
  <dc:language>en-GB</dc:language>
  <cp:lastPrinted>2026-10-19T09:00:00Z</cp:lastPrinted>
</cp:coreProperties>
</file>